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374077" w:rsidR="002C4BEE" w:rsidRPr="009E08EC" w:rsidRDefault="009E08EC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Технічне обслуговування та ремонт високопродуктивних багатофункціональних пристроїв 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ДК 021:2015: 50310000-1 — 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Технічне обслуговування і ремонт офісної техніки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410A979B" w:rsidR="00F53D0B" w:rsidRPr="002135A1" w:rsidRDefault="006F3020" w:rsidP="0021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UA-2024-09-20-006556-a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0F2FCFC2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07F0A">
              <w:rPr>
                <w:rFonts w:ascii="Times New Roman" w:hAnsi="Times New Roman" w:cs="Times New Roman"/>
                <w:sz w:val="24"/>
                <w:szCs w:val="28"/>
              </w:rPr>
              <w:t>481600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>,00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BA12420" w:rsidR="00AD5EF8" w:rsidRDefault="00D07F0A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497000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C16E8" w:rsidRPr="00BC16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C4BEE" w:rsidRPr="00BC16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556C93D1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07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3D5DB2CD" w:rsidR="00FF0E7F" w:rsidRPr="009E08EC" w:rsidRDefault="009E08EC" w:rsidP="009E08EC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9E08EC">
              <w:rPr>
                <w:sz w:val="24"/>
                <w:szCs w:val="24"/>
                <w:lang w:val="uk-UA"/>
              </w:rPr>
              <w:t>В ході аналізу наявних високопродуктивних багатофункціональних пристроїв було встановлено, що на 202</w:t>
            </w:r>
            <w:r w:rsidR="003805ED">
              <w:rPr>
                <w:sz w:val="24"/>
                <w:szCs w:val="24"/>
                <w:lang w:val="uk-UA"/>
              </w:rPr>
              <w:t>4</w:t>
            </w:r>
            <w:r w:rsidRPr="009E08EC">
              <w:rPr>
                <w:sz w:val="24"/>
                <w:szCs w:val="24"/>
                <w:lang w:val="uk-UA"/>
              </w:rPr>
              <w:t xml:space="preserve"> рік для належного виконання покладених на Департамент патрульної поліції завдань та функціональних обов’язків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E08EC">
              <w:rPr>
                <w:sz w:val="24"/>
                <w:szCs w:val="24"/>
                <w:lang w:val="uk-UA"/>
              </w:rPr>
              <w:t xml:space="preserve">необхідно проводити технічне обслуговування високопродуктивних багатофункціональних пристроїв та ремонт окремих частин. У зв’язку з тим, що високопродуктивні багатофункціональні пристрої працюють з великою </w:t>
            </w:r>
            <w:proofErr w:type="spellStart"/>
            <w:r w:rsidRPr="009E08EC">
              <w:rPr>
                <w:sz w:val="24"/>
                <w:szCs w:val="24"/>
                <w:lang w:val="uk-UA"/>
              </w:rPr>
              <w:t>навантаженістю</w:t>
            </w:r>
            <w:proofErr w:type="spellEnd"/>
            <w:r w:rsidRPr="009E08EC">
              <w:rPr>
                <w:sz w:val="24"/>
                <w:szCs w:val="24"/>
                <w:lang w:val="uk-UA"/>
              </w:rPr>
              <w:t>, у рухомих деталях накопичуються частки пилу, паперу, тонеру та іншого сміття які можуть спричинити вихід з ладу пристрою.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3DDB16E6" w:rsidR="00116E90" w:rsidRPr="001F4CC0" w:rsidRDefault="003805E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92AF" w14:textId="77777777" w:rsidR="00E1044A" w:rsidRDefault="00E1044A" w:rsidP="00AD6501">
      <w:pPr>
        <w:spacing w:after="0" w:line="240" w:lineRule="auto"/>
      </w:pPr>
      <w:r>
        <w:separator/>
      </w:r>
    </w:p>
  </w:endnote>
  <w:endnote w:type="continuationSeparator" w:id="0">
    <w:p w14:paraId="308951FC" w14:textId="77777777" w:rsidR="00E1044A" w:rsidRDefault="00E1044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9C09" w14:textId="77777777" w:rsidR="00E1044A" w:rsidRDefault="00E1044A" w:rsidP="00AD6501">
      <w:pPr>
        <w:spacing w:after="0" w:line="240" w:lineRule="auto"/>
      </w:pPr>
      <w:r>
        <w:separator/>
      </w:r>
    </w:p>
  </w:footnote>
  <w:footnote w:type="continuationSeparator" w:id="0">
    <w:p w14:paraId="5804C9B0" w14:textId="77777777" w:rsidR="00E1044A" w:rsidRDefault="00E1044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0F0221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135A1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05E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706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010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3020"/>
    <w:rsid w:val="006F7C21"/>
    <w:rsid w:val="0070226D"/>
    <w:rsid w:val="00706280"/>
    <w:rsid w:val="00711B8C"/>
    <w:rsid w:val="00711D1F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599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07F0A"/>
    <w:rsid w:val="00D157AB"/>
    <w:rsid w:val="00D30042"/>
    <w:rsid w:val="00D312E8"/>
    <w:rsid w:val="00D32A7F"/>
    <w:rsid w:val="00D5376E"/>
    <w:rsid w:val="00D552B9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044A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984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2024-09-20T14:47:00Z</dcterms:created>
  <dcterms:modified xsi:type="dcterms:W3CDTF">2024-09-20T14:47:00Z</dcterms:modified>
</cp:coreProperties>
</file>